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B99D" w14:textId="661B2006" w:rsidR="00726EAD" w:rsidRDefault="000102A5">
      <w:r>
        <w:t xml:space="preserve">Event Justification Letter </w:t>
      </w:r>
    </w:p>
    <w:p w14:paraId="0619F0D9" w14:textId="2C2E35EE" w:rsidR="000102A5" w:rsidRPr="000102A5" w:rsidRDefault="000102A5" w:rsidP="000102A5"/>
    <w:p w14:paraId="1660E447" w14:textId="77777777" w:rsidR="000102A5" w:rsidRPr="000102A5" w:rsidRDefault="000102A5" w:rsidP="000102A5">
      <w:r w:rsidRPr="000102A5">
        <w:t xml:space="preserve">Hi </w:t>
      </w:r>
      <w:r w:rsidRPr="000102A5">
        <w:rPr>
          <w:b/>
          <w:bCs/>
        </w:rPr>
        <w:t>[NAME]</w:t>
      </w:r>
      <w:r w:rsidRPr="000102A5">
        <w:t>,</w:t>
      </w:r>
    </w:p>
    <w:p w14:paraId="1FEE2D39" w14:textId="3BE4DEBF" w:rsidR="000551FA" w:rsidRPr="000551FA" w:rsidRDefault="000551FA" w:rsidP="000551FA">
      <w:pPr>
        <w:rPr>
          <w:lang w:val="en-US"/>
        </w:rPr>
      </w:pPr>
      <w:r w:rsidRPr="000551FA">
        <w:rPr>
          <w:lang w:val="en-US"/>
        </w:rPr>
        <w:t xml:space="preserve">I am writing to express my interest in attending </w:t>
      </w:r>
      <w:proofErr w:type="spellStart"/>
      <w:r w:rsidRPr="000551FA">
        <w:rPr>
          <w:b/>
          <w:bCs/>
          <w:lang w:val="en-US"/>
        </w:rPr>
        <w:t>CeFPro’s</w:t>
      </w:r>
      <w:proofErr w:type="spellEnd"/>
      <w:r w:rsidRPr="000551FA">
        <w:rPr>
          <w:b/>
          <w:bCs/>
          <w:lang w:val="en-US"/>
        </w:rPr>
        <w:t xml:space="preserve"> Sustainable Finance Europe</w:t>
      </w:r>
      <w:r w:rsidRPr="000551FA">
        <w:rPr>
          <w:lang w:val="en-US"/>
        </w:rPr>
        <w:t xml:space="preserve">, taking place </w:t>
      </w:r>
      <w:r>
        <w:rPr>
          <w:b/>
          <w:bCs/>
          <w:lang w:val="en-US"/>
        </w:rPr>
        <w:t>February 25-26</w:t>
      </w:r>
      <w:r w:rsidRPr="000551FA">
        <w:rPr>
          <w:lang w:val="en-US"/>
        </w:rPr>
        <w:t xml:space="preserve"> at </w:t>
      </w:r>
      <w:r w:rsidRPr="000551FA">
        <w:rPr>
          <w:b/>
          <w:bCs/>
          <w:lang w:val="en-US"/>
        </w:rPr>
        <w:t>Leonardo Royal Hotel London City, London</w:t>
      </w:r>
      <w:r w:rsidRPr="000551FA">
        <w:rPr>
          <w:lang w:val="en-US"/>
        </w:rPr>
        <w:t>.</w:t>
      </w:r>
    </w:p>
    <w:p w14:paraId="0F49B5E8" w14:textId="402257D9" w:rsidR="000551FA" w:rsidRPr="000551FA" w:rsidRDefault="000551FA" w:rsidP="000551FA">
      <w:pPr>
        <w:rPr>
          <w:lang w:val="en-US"/>
        </w:rPr>
      </w:pPr>
      <w:r w:rsidRPr="000551FA">
        <w:rPr>
          <w:lang w:val="en-US"/>
        </w:rPr>
        <w:t xml:space="preserve">This event is a targeted forum for sustainability and finance professionals, offering deep insight into ESG, sustainable finance frameworks, and regulatory developments. This experience would be incredibly beneficial for our </w:t>
      </w:r>
      <w:r w:rsidRPr="000551FA">
        <w:rPr>
          <w:lang w:val="en-US"/>
        </w:rPr>
        <w:t>organization</w:t>
      </w:r>
      <w:r w:rsidRPr="000551FA">
        <w:rPr>
          <w:lang w:val="en-US"/>
        </w:rPr>
        <w:t xml:space="preserve"> and team. It supports my role as [INSERT ROLE] by providing practical, research-driven strategies that can immediately inform our sustainability, investment, and compliance efforts. It will also provide a chance to engage and network with industry leaders and experts to gain clarity on strategic goals, strengthen sustainable practices, and align with evolving regulations.</w:t>
      </w:r>
    </w:p>
    <w:p w14:paraId="19D442BA" w14:textId="1A1695FB" w:rsidR="000551FA" w:rsidRPr="000551FA" w:rsidRDefault="000551FA" w:rsidP="000551FA">
      <w:pPr>
        <w:rPr>
          <w:lang w:val="en-US"/>
        </w:rPr>
      </w:pPr>
      <w:r w:rsidRPr="000551FA">
        <w:rPr>
          <w:b/>
          <w:bCs/>
          <w:lang w:val="en-US"/>
        </w:rPr>
        <w:t>Why it matters for us:</w:t>
      </w:r>
      <w:r w:rsidRPr="000551FA">
        <w:rPr>
          <w:lang w:val="en-US"/>
        </w:rPr>
        <w:br/>
        <w:t xml:space="preserve">• </w:t>
      </w:r>
      <w:r w:rsidRPr="000551FA">
        <w:rPr>
          <w:b/>
          <w:bCs/>
          <w:lang w:val="en-US"/>
        </w:rPr>
        <w:t>Focused coverage on sustainable finance:</w:t>
      </w:r>
      <w:r w:rsidRPr="000551FA">
        <w:rPr>
          <w:lang w:val="en-US"/>
        </w:rPr>
        <w:t xml:space="preserve"> Over 20 sessions led by more than 30 experts covering topics such as </w:t>
      </w:r>
      <w:r>
        <w:rPr>
          <w:lang w:val="en-US"/>
        </w:rPr>
        <w:t>the geopolitical environment, enhancing adaption and resilience for physical risk, transition finance</w:t>
      </w:r>
      <w:r w:rsidRPr="000551FA">
        <w:rPr>
          <w:lang w:val="en-US"/>
        </w:rPr>
        <w:t>, and upcoming regulations.</w:t>
      </w:r>
      <w:r w:rsidRPr="000551FA">
        <w:rPr>
          <w:lang w:val="en-US"/>
        </w:rPr>
        <w:br/>
        <w:t xml:space="preserve">• </w:t>
      </w:r>
      <w:r w:rsidRPr="000551FA">
        <w:rPr>
          <w:b/>
          <w:bCs/>
          <w:lang w:val="en-US"/>
        </w:rPr>
        <w:t>High-impact networking:</w:t>
      </w:r>
      <w:r w:rsidRPr="000551FA">
        <w:rPr>
          <w:lang w:val="en-US"/>
        </w:rPr>
        <w:t xml:space="preserve"> Connect with 150+ senior practitioners from across Europe, sharing experiences and benchmarking best practices.</w:t>
      </w:r>
      <w:r w:rsidRPr="000551FA">
        <w:rPr>
          <w:lang w:val="en-US"/>
        </w:rPr>
        <w:br/>
        <w:t xml:space="preserve">• </w:t>
      </w:r>
      <w:r w:rsidRPr="000551FA">
        <w:rPr>
          <w:b/>
          <w:bCs/>
          <w:lang w:val="en-US"/>
        </w:rPr>
        <w:t>Actionable outcomes:</w:t>
      </w:r>
      <w:r w:rsidRPr="000551FA">
        <w:rPr>
          <w:lang w:val="en-US"/>
        </w:rPr>
        <w:t xml:space="preserve"> The agenda is research-led and solution-focused—designed to deliver immediately applicable insights for our strategic and operational needs.</w:t>
      </w:r>
    </w:p>
    <w:p w14:paraId="7F108AF2" w14:textId="77777777" w:rsidR="000551FA" w:rsidRPr="000551FA" w:rsidRDefault="000551FA" w:rsidP="000551FA">
      <w:pPr>
        <w:rPr>
          <w:lang w:val="en-US"/>
        </w:rPr>
      </w:pPr>
      <w:r w:rsidRPr="000551FA">
        <w:rPr>
          <w:b/>
          <w:bCs/>
          <w:lang w:val="en-US"/>
        </w:rPr>
        <w:t>Here’s a quick look at how the sessions align with our current priorities: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3"/>
        <w:gridCol w:w="5223"/>
      </w:tblGrid>
      <w:tr w:rsidR="000551FA" w:rsidRPr="000551FA" w14:paraId="343C972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AF5AA7" w14:textId="77777777" w:rsidR="000551FA" w:rsidRPr="000551FA" w:rsidRDefault="000551FA" w:rsidP="000551FA">
            <w:pPr>
              <w:rPr>
                <w:b/>
                <w:bCs/>
                <w:lang w:val="en-US"/>
              </w:rPr>
            </w:pPr>
            <w:r w:rsidRPr="000551FA">
              <w:rPr>
                <w:b/>
                <w:bCs/>
                <w:lang w:val="en-US"/>
              </w:rPr>
              <w:t>Our Initiative</w:t>
            </w:r>
          </w:p>
        </w:tc>
        <w:tc>
          <w:tcPr>
            <w:tcW w:w="0" w:type="auto"/>
            <w:vAlign w:val="center"/>
            <w:hideMark/>
          </w:tcPr>
          <w:p w14:paraId="3A35925C" w14:textId="77777777" w:rsidR="000551FA" w:rsidRPr="000551FA" w:rsidRDefault="000551FA" w:rsidP="000551FA">
            <w:pPr>
              <w:rPr>
                <w:b/>
                <w:bCs/>
                <w:lang w:val="en-US"/>
              </w:rPr>
            </w:pPr>
            <w:r w:rsidRPr="000551FA">
              <w:rPr>
                <w:b/>
                <w:bCs/>
                <w:lang w:val="en-US"/>
              </w:rPr>
              <w:t>Relevant Sessions</w:t>
            </w:r>
          </w:p>
        </w:tc>
      </w:tr>
      <w:tr w:rsidR="000551FA" w:rsidRPr="000551FA" w14:paraId="68018A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FBB2A" w14:textId="77777777" w:rsidR="000551FA" w:rsidRPr="000551FA" w:rsidRDefault="000551FA" w:rsidP="000551FA">
            <w:pPr>
              <w:rPr>
                <w:lang w:val="en-US"/>
              </w:rPr>
            </w:pPr>
            <w:r w:rsidRPr="000551FA">
              <w:rPr>
                <w:lang w:val="en-US"/>
              </w:rPr>
              <w:t>Strengthening ESG and sustainable finance strategies</w:t>
            </w:r>
          </w:p>
        </w:tc>
        <w:tc>
          <w:tcPr>
            <w:tcW w:w="0" w:type="auto"/>
            <w:vAlign w:val="center"/>
            <w:hideMark/>
          </w:tcPr>
          <w:p w14:paraId="263C07BC" w14:textId="77777777" w:rsidR="000551FA" w:rsidRPr="000551FA" w:rsidRDefault="000551FA" w:rsidP="000551FA">
            <w:pPr>
              <w:rPr>
                <w:lang w:val="en-US"/>
              </w:rPr>
            </w:pPr>
            <w:r w:rsidRPr="000551FA">
              <w:rPr>
                <w:lang w:val="en-US"/>
              </w:rPr>
              <w:t>Aligning Regulatory Developments with Sustainable Finance Practices</w:t>
            </w:r>
          </w:p>
        </w:tc>
      </w:tr>
      <w:tr w:rsidR="000551FA" w:rsidRPr="000551FA" w14:paraId="256BF6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B898C" w14:textId="77777777" w:rsidR="000551FA" w:rsidRPr="000551FA" w:rsidRDefault="000551FA" w:rsidP="000551FA">
            <w:pPr>
              <w:rPr>
                <w:lang w:val="en-US"/>
              </w:rPr>
            </w:pPr>
            <w:r w:rsidRPr="000551FA">
              <w:rPr>
                <w:lang w:val="en-US"/>
              </w:rPr>
              <w:t>Addressing climate and transition risk</w:t>
            </w:r>
          </w:p>
        </w:tc>
        <w:tc>
          <w:tcPr>
            <w:tcW w:w="0" w:type="auto"/>
            <w:vAlign w:val="center"/>
            <w:hideMark/>
          </w:tcPr>
          <w:p w14:paraId="217876A2" w14:textId="77777777" w:rsidR="000551FA" w:rsidRPr="000551FA" w:rsidRDefault="000551FA" w:rsidP="000551FA">
            <w:pPr>
              <w:rPr>
                <w:lang w:val="en-US"/>
              </w:rPr>
            </w:pPr>
            <w:r w:rsidRPr="000551FA">
              <w:rPr>
                <w:lang w:val="en-US"/>
              </w:rPr>
              <w:t>Navigating Climate Risk and Integration into Risk Management Frameworks</w:t>
            </w:r>
          </w:p>
        </w:tc>
      </w:tr>
      <w:tr w:rsidR="000551FA" w:rsidRPr="000551FA" w14:paraId="337716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1CC96" w14:textId="77777777" w:rsidR="000551FA" w:rsidRPr="000551FA" w:rsidRDefault="000551FA" w:rsidP="000551FA">
            <w:pPr>
              <w:rPr>
                <w:lang w:val="en-US"/>
              </w:rPr>
            </w:pPr>
            <w:r w:rsidRPr="000551FA">
              <w:rPr>
                <w:lang w:val="en-US"/>
              </w:rPr>
              <w:t>Enhancing reporting and disclosure</w:t>
            </w:r>
          </w:p>
        </w:tc>
        <w:tc>
          <w:tcPr>
            <w:tcW w:w="0" w:type="auto"/>
            <w:vAlign w:val="center"/>
            <w:hideMark/>
          </w:tcPr>
          <w:p w14:paraId="40A27534" w14:textId="77777777" w:rsidR="000551FA" w:rsidRPr="000551FA" w:rsidRDefault="000551FA" w:rsidP="000551FA">
            <w:pPr>
              <w:rPr>
                <w:lang w:val="en-US"/>
              </w:rPr>
            </w:pPr>
            <w:r w:rsidRPr="000551FA">
              <w:rPr>
                <w:lang w:val="en-US"/>
              </w:rPr>
              <w:t>Meeting Evolving ESG and Sustainable Finance Disclosure Requirements</w:t>
            </w:r>
          </w:p>
        </w:tc>
      </w:tr>
      <w:tr w:rsidR="000551FA" w:rsidRPr="000551FA" w14:paraId="1C1AE6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96381" w14:textId="77777777" w:rsidR="000551FA" w:rsidRPr="000551FA" w:rsidRDefault="000551FA" w:rsidP="000551FA">
            <w:pPr>
              <w:rPr>
                <w:lang w:val="en-US"/>
              </w:rPr>
            </w:pPr>
            <w:r w:rsidRPr="000551FA">
              <w:rPr>
                <w:lang w:val="en-US"/>
              </w:rPr>
              <w:t>[Example]</w:t>
            </w:r>
          </w:p>
        </w:tc>
        <w:tc>
          <w:tcPr>
            <w:tcW w:w="0" w:type="auto"/>
            <w:vAlign w:val="center"/>
            <w:hideMark/>
          </w:tcPr>
          <w:p w14:paraId="698B3270" w14:textId="77777777" w:rsidR="000551FA" w:rsidRPr="000551FA" w:rsidRDefault="000551FA" w:rsidP="000551FA">
            <w:pPr>
              <w:rPr>
                <w:lang w:val="en-US"/>
              </w:rPr>
            </w:pPr>
            <w:r w:rsidRPr="000551FA">
              <w:rPr>
                <w:lang w:val="en-US"/>
              </w:rPr>
              <w:t>[Insert relevant session]</w:t>
            </w:r>
          </w:p>
        </w:tc>
      </w:tr>
    </w:tbl>
    <w:p w14:paraId="4EFC3C7C" w14:textId="77777777" w:rsidR="000551FA" w:rsidRPr="000551FA" w:rsidRDefault="000551FA" w:rsidP="000551FA">
      <w:pPr>
        <w:rPr>
          <w:lang w:val="en-US"/>
        </w:rPr>
      </w:pPr>
      <w:r w:rsidRPr="000551FA">
        <w:rPr>
          <w:lang w:val="en-US"/>
        </w:rPr>
        <w:t>After the conference, I’ll produce a detailed debrief including a summary of key insights and best practices, actionable recommendations tailored to our projects, and suggested process improvements or tool evaluations.</w:t>
      </w:r>
    </w:p>
    <w:p w14:paraId="3DA9447A" w14:textId="782FC333" w:rsidR="000551FA" w:rsidRPr="000551FA" w:rsidRDefault="000551FA" w:rsidP="000551FA">
      <w:pPr>
        <w:rPr>
          <w:lang w:val="en-US"/>
        </w:rPr>
      </w:pPr>
      <w:r w:rsidRPr="000551FA">
        <w:rPr>
          <w:b/>
          <w:bCs/>
          <w:lang w:val="en-US"/>
        </w:rPr>
        <w:t>Pricing &amp; Registration</w:t>
      </w:r>
      <w:r w:rsidRPr="000551FA">
        <w:rPr>
          <w:lang w:val="en-US"/>
        </w:rPr>
        <w:br/>
        <w:t xml:space="preserve">CeFPro is currently offering an early bird rate of </w:t>
      </w:r>
      <w:r w:rsidRPr="000551FA">
        <w:rPr>
          <w:b/>
          <w:bCs/>
          <w:lang w:val="en-US"/>
        </w:rPr>
        <w:t>£</w:t>
      </w:r>
      <w:r>
        <w:rPr>
          <w:b/>
          <w:bCs/>
          <w:lang w:val="en-US"/>
        </w:rPr>
        <w:t>79</w:t>
      </w:r>
      <w:r w:rsidRPr="000551FA">
        <w:rPr>
          <w:b/>
          <w:bCs/>
          <w:lang w:val="en-US"/>
        </w:rPr>
        <w:t>9 per person</w:t>
      </w:r>
      <w:r w:rsidRPr="000551FA">
        <w:rPr>
          <w:lang w:val="en-US"/>
        </w:rPr>
        <w:t xml:space="preserve"> for financial institutions or public-sector attendees (standard price £1,3</w:t>
      </w:r>
      <w:r>
        <w:rPr>
          <w:lang w:val="en-US"/>
        </w:rPr>
        <w:t>99</w:t>
      </w:r>
      <w:r w:rsidRPr="000551FA">
        <w:rPr>
          <w:lang w:val="en-US"/>
        </w:rPr>
        <w:t>). Group rates (if applicable) are even lower (£</w:t>
      </w:r>
      <w:r>
        <w:rPr>
          <w:lang w:val="en-US"/>
        </w:rPr>
        <w:t>5</w:t>
      </w:r>
      <w:r w:rsidRPr="000551FA">
        <w:rPr>
          <w:lang w:val="en-US"/>
        </w:rPr>
        <w:t>59.20 each for groups of 5). I’ll confirm final pricing depending on our registration path and will take advantage of early booking to secure best rates.</w:t>
      </w:r>
    </w:p>
    <w:p w14:paraId="21B4D796" w14:textId="77777777" w:rsidR="000551FA" w:rsidRPr="000551FA" w:rsidRDefault="000551FA" w:rsidP="000551FA">
      <w:pPr>
        <w:rPr>
          <w:lang w:val="en-US"/>
        </w:rPr>
      </w:pPr>
      <w:r w:rsidRPr="000551FA">
        <w:rPr>
          <w:lang w:val="en-US"/>
        </w:rPr>
        <w:lastRenderedPageBreak/>
        <w:t>If you have any questions or need more information, please let me know. You can also view additional event info on the CeFPro site here: [INSERT EVENT LINK]. It would be great to hear from you by [DATE], so I can then lock in the registration and the best travel and hotel rates.</w:t>
      </w:r>
    </w:p>
    <w:p w14:paraId="31BF521C" w14:textId="77777777" w:rsidR="000551FA" w:rsidRPr="000551FA" w:rsidRDefault="000551FA" w:rsidP="000551FA">
      <w:pPr>
        <w:rPr>
          <w:lang w:val="en-US"/>
        </w:rPr>
      </w:pPr>
      <w:r w:rsidRPr="000551FA">
        <w:rPr>
          <w:lang w:val="en-US"/>
        </w:rPr>
        <w:t>Thank you for considering this request, I’m confident this will deliver practical value to our sustainable finance and ESG efforts.</w:t>
      </w:r>
    </w:p>
    <w:p w14:paraId="13BDD3FE" w14:textId="77777777" w:rsidR="000551FA" w:rsidRPr="000551FA" w:rsidRDefault="000551FA" w:rsidP="000551FA">
      <w:pPr>
        <w:rPr>
          <w:lang w:val="en-US"/>
        </w:rPr>
      </w:pPr>
      <w:r w:rsidRPr="000551FA">
        <w:rPr>
          <w:lang w:val="en-US"/>
        </w:rPr>
        <w:t>Best regards,</w:t>
      </w:r>
    </w:p>
    <w:p w14:paraId="0FC28017" w14:textId="77777777" w:rsidR="000102A5" w:rsidRDefault="000102A5"/>
    <w:sectPr w:rsidR="00010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224"/>
    <w:multiLevelType w:val="multilevel"/>
    <w:tmpl w:val="3BFA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14E2B"/>
    <w:multiLevelType w:val="multilevel"/>
    <w:tmpl w:val="3562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337B1"/>
    <w:multiLevelType w:val="multilevel"/>
    <w:tmpl w:val="7D6C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D489B"/>
    <w:multiLevelType w:val="multilevel"/>
    <w:tmpl w:val="3600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F4BA0"/>
    <w:multiLevelType w:val="multilevel"/>
    <w:tmpl w:val="058C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64301"/>
    <w:multiLevelType w:val="hybridMultilevel"/>
    <w:tmpl w:val="E37A55A4"/>
    <w:lvl w:ilvl="0" w:tplc="D168FC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D4D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61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0D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88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6E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0D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41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AF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614035">
    <w:abstractNumId w:val="5"/>
  </w:num>
  <w:num w:numId="2" w16cid:durableId="233202407">
    <w:abstractNumId w:val="1"/>
  </w:num>
  <w:num w:numId="3" w16cid:durableId="1435705155">
    <w:abstractNumId w:val="2"/>
  </w:num>
  <w:num w:numId="4" w16cid:durableId="1187017319">
    <w:abstractNumId w:val="0"/>
  </w:num>
  <w:num w:numId="5" w16cid:durableId="1602184579">
    <w:abstractNumId w:val="3"/>
  </w:num>
  <w:num w:numId="6" w16cid:durableId="1240750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A5"/>
    <w:rsid w:val="000102A5"/>
    <w:rsid w:val="000551FA"/>
    <w:rsid w:val="002357C4"/>
    <w:rsid w:val="00242B8E"/>
    <w:rsid w:val="002C2624"/>
    <w:rsid w:val="00701597"/>
    <w:rsid w:val="00705AB5"/>
    <w:rsid w:val="00726EAD"/>
    <w:rsid w:val="007A3139"/>
    <w:rsid w:val="00D056DD"/>
    <w:rsid w:val="00DA104E"/>
    <w:rsid w:val="00FE082C"/>
    <w:rsid w:val="2EDB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C1F3E"/>
  <w15:chartTrackingRefBased/>
  <w15:docId w15:val="{ABA8A402-F0F9-44F5-B48D-670E430C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2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2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2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2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2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2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2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2A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02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2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B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0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4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5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2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2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8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6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</dc:creator>
  <cp:keywords/>
  <dc:description/>
  <cp:lastModifiedBy>Thomas Bagwell</cp:lastModifiedBy>
  <cp:revision>3</cp:revision>
  <dcterms:created xsi:type="dcterms:W3CDTF">2025-10-01T16:02:00Z</dcterms:created>
  <dcterms:modified xsi:type="dcterms:W3CDTF">2025-10-01T16:07:00Z</dcterms:modified>
</cp:coreProperties>
</file>