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B99D" w14:textId="661B2006" w:rsidR="00726EAD" w:rsidRDefault="000102A5">
      <w:r>
        <w:t xml:space="preserve">Event Justification Letter </w:t>
      </w:r>
    </w:p>
    <w:p w14:paraId="0619F0D9" w14:textId="2C2E35EE" w:rsidR="000102A5" w:rsidRPr="000102A5" w:rsidRDefault="000102A5" w:rsidP="000102A5"/>
    <w:p w14:paraId="1660E447" w14:textId="77777777" w:rsidR="000102A5" w:rsidRDefault="000102A5" w:rsidP="000102A5">
      <w:r>
        <w:t xml:space="preserve">Hi </w:t>
      </w:r>
      <w:r w:rsidRPr="4E5D1DB7">
        <w:rPr>
          <w:b/>
          <w:bCs/>
        </w:rPr>
        <w:t>[NAME]</w:t>
      </w:r>
      <w:r>
        <w:t>,</w:t>
      </w:r>
    </w:p>
    <w:p w14:paraId="7BDAFB23" w14:textId="77777777" w:rsidR="00DC5B17" w:rsidRPr="000102A5" w:rsidRDefault="00DC5B17" w:rsidP="000102A5"/>
    <w:p w14:paraId="1E223CF4" w14:textId="0E854BE3" w:rsidR="000102A5" w:rsidRDefault="000102A5" w:rsidP="000102A5">
      <w:pPr>
        <w:rPr>
          <w:b/>
          <w:bCs/>
        </w:rPr>
      </w:pPr>
      <w:r>
        <w:t xml:space="preserve">I am writing to express my interest in attending </w:t>
      </w:r>
      <w:r w:rsidRPr="4E5D1DB7">
        <w:rPr>
          <w:b/>
          <w:bCs/>
        </w:rPr>
        <w:t>CeFPro</w:t>
      </w:r>
      <w:r w:rsidR="00934AB6" w:rsidRPr="4E5D1DB7">
        <w:rPr>
          <w:b/>
          <w:bCs/>
        </w:rPr>
        <w:t>’s</w:t>
      </w:r>
      <w:r w:rsidR="00934AB6" w:rsidRPr="4E5D1DB7">
        <w:rPr>
          <w:b/>
          <w:bCs/>
          <w:color w:val="EE0000"/>
        </w:rPr>
        <w:t xml:space="preserve"> </w:t>
      </w:r>
      <w:r w:rsidR="00DC5B17" w:rsidRPr="4E5D1DB7">
        <w:rPr>
          <w:b/>
          <w:bCs/>
          <w:color w:val="000000" w:themeColor="text1"/>
        </w:rPr>
        <w:t xml:space="preserve">Risk </w:t>
      </w:r>
      <w:r w:rsidR="00686063">
        <w:rPr>
          <w:b/>
          <w:bCs/>
          <w:color w:val="000000" w:themeColor="text1"/>
        </w:rPr>
        <w:t>Evolve</w:t>
      </w:r>
      <w:r w:rsidR="00DC5B17" w:rsidRPr="4E5D1DB7">
        <w:rPr>
          <w:b/>
          <w:bCs/>
          <w:color w:val="000000" w:themeColor="text1"/>
        </w:rPr>
        <w:t xml:space="preserve"> 2026</w:t>
      </w:r>
      <w:r>
        <w:t xml:space="preserve">, taking place </w:t>
      </w:r>
      <w:r w:rsidR="00686063">
        <w:rPr>
          <w:b/>
          <w:bCs/>
        </w:rPr>
        <w:t>April 15-16</w:t>
      </w:r>
      <w:r w:rsidR="00F81DC0">
        <w:t xml:space="preserve">, </w:t>
      </w:r>
      <w:r>
        <w:t>at</w:t>
      </w:r>
      <w:r w:rsidR="00386B46" w:rsidRPr="4E5D1DB7">
        <w:rPr>
          <w:b/>
          <w:bCs/>
        </w:rPr>
        <w:t xml:space="preserve"> </w:t>
      </w:r>
      <w:r w:rsidR="00686063">
        <w:rPr>
          <w:b/>
          <w:bCs/>
        </w:rPr>
        <w:t>133 Houndsditch, London</w:t>
      </w:r>
      <w:r w:rsidR="00F81DC0" w:rsidRPr="4E5D1DB7">
        <w:rPr>
          <w:b/>
          <w:bCs/>
        </w:rPr>
        <w:t xml:space="preserve">. </w:t>
      </w:r>
    </w:p>
    <w:p w14:paraId="786E5457" w14:textId="77777777" w:rsidR="00DC5B17" w:rsidRPr="000102A5" w:rsidRDefault="00DC5B17" w:rsidP="000102A5"/>
    <w:p w14:paraId="00E97F33" w14:textId="00E82621" w:rsidR="002D3BEF" w:rsidRDefault="002D3BEF" w:rsidP="000102A5">
      <w:r>
        <w:t xml:space="preserve">This event is a targeted forum for </w:t>
      </w:r>
      <w:r w:rsidR="34919325">
        <w:t>risk</w:t>
      </w:r>
      <w:r>
        <w:t xml:space="preserve"> professionals</w:t>
      </w:r>
      <w:r w:rsidR="705D3950">
        <w:t xml:space="preserve"> working within the financial landscape</w:t>
      </w:r>
      <w:r>
        <w:t xml:space="preserve">, offering deep insight into </w:t>
      </w:r>
      <w:r w:rsidR="5887585F">
        <w:t xml:space="preserve">a wide variety of risk types including: </w:t>
      </w:r>
      <w:r w:rsidR="00686063">
        <w:t>risk in the digital age, geopolitical and macroeconomics, DORA, balance sheet management, emerging risk</w:t>
      </w:r>
      <w:r w:rsidR="5887585F">
        <w:t xml:space="preserve"> and more</w:t>
      </w:r>
      <w:r>
        <w:t>. This experience would be highly valuable for our organisation and team. It supports my role as [</w:t>
      </w:r>
      <w:r w:rsidRPr="4E5D1DB7">
        <w:rPr>
          <w:b/>
          <w:bCs/>
          <w:color w:val="EE0000"/>
        </w:rPr>
        <w:t>INSERT YOUR ROLE</w:t>
      </w:r>
      <w:r>
        <w:t>] by providing practical, research-driven strategies to strengthen our risk management, capital optimisation, and strategic decision-making. It will also provide an opportunity to engage with senior experts and thought leaders to gain clarity on emerging challenges and enhance organisational resilience.</w:t>
      </w:r>
    </w:p>
    <w:p w14:paraId="558A7ECF" w14:textId="77777777" w:rsidR="00DC5B17" w:rsidRDefault="00DC5B17" w:rsidP="000102A5"/>
    <w:p w14:paraId="02FF1540" w14:textId="77777777" w:rsidR="000102A5" w:rsidRPr="000102A5" w:rsidRDefault="000102A5" w:rsidP="000102A5">
      <w:pPr>
        <w:rPr>
          <w:b/>
          <w:bCs/>
        </w:rPr>
      </w:pPr>
      <w:r w:rsidRPr="4E5D1DB7">
        <w:rPr>
          <w:b/>
          <w:bCs/>
        </w:rPr>
        <w:t>Why it matters for us:</w:t>
      </w:r>
    </w:p>
    <w:p w14:paraId="40A6C661" w14:textId="03D5C282" w:rsidR="00661420" w:rsidRPr="00661420" w:rsidRDefault="00661420" w:rsidP="000102A5">
      <w:pPr>
        <w:numPr>
          <w:ilvl w:val="0"/>
          <w:numId w:val="5"/>
        </w:numPr>
      </w:pPr>
      <w:r w:rsidRPr="4E5D1DB7">
        <w:rPr>
          <w:b/>
          <w:bCs/>
        </w:rPr>
        <w:t xml:space="preserve">Focused coverage: </w:t>
      </w:r>
      <w:r w:rsidR="005D75DA">
        <w:t>The agenda is packed full of i</w:t>
      </w:r>
      <w:r>
        <w:t>n-depth sessions led by senior experts and thought leaders on the most current and impactful topics shaping the industry.</w:t>
      </w:r>
    </w:p>
    <w:p w14:paraId="7D3430C6" w14:textId="77777777" w:rsidR="005D75DA" w:rsidRDefault="005D75DA" w:rsidP="005D75DA">
      <w:pPr>
        <w:numPr>
          <w:ilvl w:val="0"/>
          <w:numId w:val="5"/>
        </w:numPr>
      </w:pPr>
      <w:r w:rsidRPr="4E5D1DB7">
        <w:rPr>
          <w:b/>
          <w:bCs/>
        </w:rPr>
        <w:t>Actionable outcomes:</w:t>
      </w:r>
      <w:r>
        <w:t xml:space="preserve"> The agenda is research led and solution focused - designed to deliver immediately applicable insights for our strategic and operational needs. </w:t>
      </w:r>
    </w:p>
    <w:p w14:paraId="1908F01E" w14:textId="453555B4" w:rsidR="000102A5" w:rsidRPr="000102A5" w:rsidRDefault="2EDB53DA" w:rsidP="000102A5">
      <w:pPr>
        <w:numPr>
          <w:ilvl w:val="0"/>
          <w:numId w:val="5"/>
        </w:numPr>
      </w:pPr>
      <w:r w:rsidRPr="4E5D1DB7">
        <w:rPr>
          <w:b/>
          <w:bCs/>
        </w:rPr>
        <w:t>High impact networking:</w:t>
      </w:r>
      <w:r>
        <w:t xml:space="preserve"> Connect with </w:t>
      </w:r>
      <w:r w:rsidR="00686063">
        <w:t>250</w:t>
      </w:r>
      <w:r>
        <w:t xml:space="preserve">+ senior practitioners from across </w:t>
      </w:r>
      <w:r w:rsidR="00686063">
        <w:t>Europe</w:t>
      </w:r>
      <w:r>
        <w:t xml:space="preserve">, sharing experiences and benchmarking best practices. </w:t>
      </w:r>
    </w:p>
    <w:p w14:paraId="7C35D754" w14:textId="155CD7AC" w:rsidR="00A07698" w:rsidRDefault="00F40AB1" w:rsidP="000102A5">
      <w:pPr>
        <w:numPr>
          <w:ilvl w:val="0"/>
          <w:numId w:val="5"/>
        </w:numPr>
      </w:pPr>
      <w:r w:rsidRPr="4E5D1DB7">
        <w:rPr>
          <w:b/>
          <w:bCs/>
        </w:rPr>
        <w:t>Competitive intelligence</w:t>
      </w:r>
      <w:r>
        <w:t>: Gain valuable insights into the strategies and initiatives of our peers and competitors to inform our own approach.</w:t>
      </w:r>
    </w:p>
    <w:p w14:paraId="2F15107D" w14:textId="58687F46" w:rsidR="003A3194" w:rsidRPr="000102A5" w:rsidRDefault="003A3194" w:rsidP="000102A5">
      <w:pPr>
        <w:numPr>
          <w:ilvl w:val="0"/>
          <w:numId w:val="5"/>
        </w:numPr>
      </w:pPr>
      <w:r w:rsidRPr="4E5D1DB7">
        <w:rPr>
          <w:b/>
          <w:bCs/>
        </w:rPr>
        <w:t>Innovation insights</w:t>
      </w:r>
      <w:r>
        <w:t xml:space="preserve">: I’ll be able to hear directly from leading solution providers and discover the latest technologies and solutions emerging in the market. </w:t>
      </w:r>
    </w:p>
    <w:p w14:paraId="51BDEEBB" w14:textId="068B20BE" w:rsidR="000102A5" w:rsidRPr="000102A5" w:rsidRDefault="00BB7686" w:rsidP="000102A5">
      <w:r>
        <w:rPr>
          <w:noProof/>
        </w:rPr>
        <mc:AlternateContent>
          <mc:Choice Requires="wps">
            <w:drawing>
              <wp:inline distT="0" distB="0" distL="0" distR="0" wp14:anchorId="7DB1BED3" wp14:editId="5F43F22E">
                <wp:extent cx="5731510" cy="635"/>
                <wp:effectExtent l="0" t="31750" r="0" b="36830"/>
                <wp:docPr id="1265975829" name="Horizontal L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933084-1706-4F11-AFB1-0CE13D465B5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3151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6="http://schemas.microsoft.com/office/drawing/2014/main" xmlns:a="http://schemas.openxmlformats.org/drawingml/2006/main"/>
        </mc:AlternateContent>
      </w:r>
    </w:p>
    <w:p w14:paraId="26061DF8" w14:textId="1DFDCCA4" w:rsidR="00242B8E" w:rsidRDefault="00242B8E" w:rsidP="000102A5">
      <w:pPr>
        <w:rPr>
          <w:b/>
          <w:bCs/>
        </w:rPr>
      </w:pPr>
      <w:r w:rsidRPr="4E5D1DB7">
        <w:rPr>
          <w:b/>
          <w:bCs/>
        </w:rPr>
        <w:t xml:space="preserve">Here’s a quick look at how the sessions align with our current priorities: </w:t>
      </w:r>
    </w:p>
    <w:p w14:paraId="2B474083" w14:textId="77777777" w:rsidR="001E420E" w:rsidRDefault="001E420E" w:rsidP="000102A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0E3CC6" w14:paraId="7AE65E81" w14:textId="77777777" w:rsidTr="4E5D1DB7">
        <w:tc>
          <w:tcPr>
            <w:tcW w:w="33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5A22BDD" w14:textId="7CC24588" w:rsidR="000E3CC6" w:rsidRPr="000E3CC6" w:rsidRDefault="1CD0B7FD" w:rsidP="4E5D1DB7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E5D1DB7">
              <w:rPr>
                <w:b/>
                <w:bCs/>
                <w:color w:val="000000" w:themeColor="text1"/>
              </w:rPr>
              <w:t>Our Initiative</w:t>
            </w:r>
          </w:p>
        </w:tc>
        <w:tc>
          <w:tcPr>
            <w:tcW w:w="56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979A61C" w14:textId="2468E2A3" w:rsidR="000E3CC6" w:rsidRPr="000E3CC6" w:rsidRDefault="1CD0B7FD" w:rsidP="000E3CC6">
            <w:pPr>
              <w:jc w:val="center"/>
              <w:rPr>
                <w:b/>
                <w:bCs/>
                <w:color w:val="000000" w:themeColor="text1"/>
              </w:rPr>
            </w:pPr>
            <w:r w:rsidRPr="4E5D1DB7">
              <w:rPr>
                <w:b/>
                <w:bCs/>
                <w:color w:val="000000" w:themeColor="text1"/>
              </w:rPr>
              <w:t>Relevant Sessions</w:t>
            </w:r>
          </w:p>
        </w:tc>
      </w:tr>
      <w:tr w:rsidR="000E3CC6" w14:paraId="4D5B21E6" w14:textId="77777777" w:rsidTr="4E5D1DB7">
        <w:tc>
          <w:tcPr>
            <w:tcW w:w="33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2C46F00" w14:textId="4C21C00F" w:rsidR="000E3CC6" w:rsidRPr="00DC5B17" w:rsidRDefault="00686063" w:rsidP="4E5D1DB7">
            <w:pPr>
              <w:rPr>
                <w:color w:val="EE0000"/>
              </w:rPr>
            </w:pPr>
            <w:r>
              <w:rPr>
                <w:color w:val="EE0000"/>
              </w:rPr>
              <w:t>NFR, Operational Risk and Resilience</w:t>
            </w:r>
          </w:p>
        </w:tc>
        <w:tc>
          <w:tcPr>
            <w:tcW w:w="56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4E341AB" w14:textId="51FC4431" w:rsidR="000E3CC6" w:rsidRPr="00DC5B17" w:rsidRDefault="7EAB3106" w:rsidP="4E5D1DB7">
            <w:pPr>
              <w:rPr>
                <w:color w:val="EE0000"/>
              </w:rPr>
            </w:pPr>
            <w:r w:rsidRPr="4E5D1DB7">
              <w:rPr>
                <w:color w:val="EE0000"/>
              </w:rPr>
              <w:t xml:space="preserve">Exploring all aspects of non-financial risk, from </w:t>
            </w:r>
            <w:r w:rsidR="00686063">
              <w:rPr>
                <w:color w:val="EE0000"/>
              </w:rPr>
              <w:t>o</w:t>
            </w:r>
            <w:r w:rsidRPr="4E5D1DB7">
              <w:rPr>
                <w:color w:val="EE0000"/>
              </w:rPr>
              <w:t xml:space="preserve">perational risk resilience, </w:t>
            </w:r>
            <w:r w:rsidR="00686063">
              <w:rPr>
                <w:color w:val="EE0000"/>
              </w:rPr>
              <w:t>DORA, RCSA’s, culture, conduct and reputational resilience</w:t>
            </w:r>
          </w:p>
        </w:tc>
      </w:tr>
      <w:tr w:rsidR="000E3CC6" w14:paraId="477305E6" w14:textId="77777777" w:rsidTr="4E5D1DB7">
        <w:tc>
          <w:tcPr>
            <w:tcW w:w="33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C305A3C" w14:textId="096CE2AA" w:rsidR="000E3CC6" w:rsidRPr="00DC5B17" w:rsidRDefault="00686063" w:rsidP="4E5D1DB7">
            <w:pPr>
              <w:rPr>
                <w:color w:val="EE0000"/>
              </w:rPr>
            </w:pPr>
            <w:r>
              <w:rPr>
                <w:color w:val="EE0000"/>
              </w:rPr>
              <w:t>Treasury, Balance Sheet and Market Risk</w:t>
            </w:r>
          </w:p>
        </w:tc>
        <w:tc>
          <w:tcPr>
            <w:tcW w:w="56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60275EF" w14:textId="5E53FB91" w:rsidR="000E3CC6" w:rsidRPr="00DC5B17" w:rsidRDefault="00686063" w:rsidP="4E5D1DB7">
            <w:pPr>
              <w:rPr>
                <w:color w:val="EE0000"/>
              </w:rPr>
            </w:pPr>
            <w:r w:rsidRPr="4E5D1DB7">
              <w:rPr>
                <w:color w:val="EE0000"/>
              </w:rPr>
              <w:t xml:space="preserve">Enhancing how firms approach </w:t>
            </w:r>
            <w:r>
              <w:rPr>
                <w:color w:val="EE0000"/>
              </w:rPr>
              <w:t>balance sheet management</w:t>
            </w:r>
            <w:r w:rsidRPr="4E5D1DB7">
              <w:rPr>
                <w:color w:val="EE0000"/>
              </w:rPr>
              <w:t xml:space="preserve">, IRRBB, </w:t>
            </w:r>
            <w:r>
              <w:rPr>
                <w:color w:val="EE0000"/>
              </w:rPr>
              <w:t>interest rate modelling, capital planning and market risk.</w:t>
            </w:r>
          </w:p>
        </w:tc>
      </w:tr>
      <w:tr w:rsidR="000E3CC6" w14:paraId="2C69FFBA" w14:textId="77777777" w:rsidTr="4E5D1DB7">
        <w:tc>
          <w:tcPr>
            <w:tcW w:w="33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262C74B" w14:textId="3073CDF1" w:rsidR="308E21CB" w:rsidRDefault="00686063" w:rsidP="4E5D1DB7">
            <w:pPr>
              <w:rPr>
                <w:color w:val="EE0000"/>
              </w:rPr>
            </w:pPr>
            <w:r>
              <w:rPr>
                <w:color w:val="EE0000"/>
              </w:rPr>
              <w:t>Emerging Risk, Technology and Innovation</w:t>
            </w:r>
          </w:p>
          <w:p w14:paraId="22B62B9D" w14:textId="77777777" w:rsidR="000E3CC6" w:rsidRPr="00DC5B17" w:rsidRDefault="000E3CC6" w:rsidP="4E5D1DB7">
            <w:pPr>
              <w:rPr>
                <w:color w:val="EE0000"/>
              </w:rPr>
            </w:pPr>
          </w:p>
        </w:tc>
        <w:tc>
          <w:tcPr>
            <w:tcW w:w="56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1B3DE75" w14:textId="56B47515" w:rsidR="000E3CC6" w:rsidRPr="00DC5B17" w:rsidRDefault="00686063" w:rsidP="4E5D1DB7">
            <w:pPr>
              <w:rPr>
                <w:color w:val="EE0000"/>
              </w:rPr>
            </w:pPr>
            <w:r>
              <w:rPr>
                <w:color w:val="EE0000"/>
              </w:rPr>
              <w:t>Discovering AI-driven risk modelling, transition planning and portfolio steering, digital money, tokenisation and payments, operational resilience under tech disruption</w:t>
            </w:r>
          </w:p>
        </w:tc>
      </w:tr>
    </w:tbl>
    <w:p w14:paraId="493B0F70" w14:textId="77777777" w:rsidR="007D5A8C" w:rsidRPr="000102A5" w:rsidRDefault="007D5A8C" w:rsidP="000102A5">
      <w:pPr>
        <w:rPr>
          <w:b/>
          <w:bCs/>
        </w:rPr>
      </w:pPr>
    </w:p>
    <w:p w14:paraId="408E1C67" w14:textId="3AC3DC2F" w:rsidR="000102A5" w:rsidRPr="000102A5" w:rsidRDefault="2EDB53DA" w:rsidP="000102A5">
      <w:r w:rsidRPr="4E5D1DB7">
        <w:rPr>
          <w:color w:val="FF0000"/>
        </w:rPr>
        <w:t xml:space="preserve">[Example] </w:t>
      </w:r>
      <w:r w:rsidR="00BB7686">
        <w:rPr>
          <w:noProof/>
        </w:rPr>
        <mc:AlternateContent>
          <mc:Choice Requires="wps">
            <w:drawing>
              <wp:inline distT="0" distB="0" distL="0" distR="0" wp14:anchorId="138BEC51" wp14:editId="6A625C39">
                <wp:extent cx="5731510" cy="635"/>
                <wp:effectExtent l="0" t="31750" r="0" b="36830"/>
                <wp:docPr id="985064403" name="Horizontal Lin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898B1A-4F25-4125-A6A4-5D3A080350E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3151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6="http://schemas.microsoft.com/office/drawing/2014/main" xmlns:a="http://schemas.openxmlformats.org/drawingml/2006/main"/>
        </mc:AlternateContent>
      </w:r>
    </w:p>
    <w:p w14:paraId="11F5770D" w14:textId="700F7CE6" w:rsidR="002C2624" w:rsidRDefault="2EDB53DA" w:rsidP="000102A5">
      <w:r>
        <w:t xml:space="preserve">After the conference, I’ll produce a detailed debrief including a summary of key insights and best practices. actionable recommendations tailored to our projects and suggested process improvements or tool evaluations. </w:t>
      </w:r>
    </w:p>
    <w:p w14:paraId="24983E13" w14:textId="3DDE9FF9" w:rsidR="2EDB53DA" w:rsidRDefault="2EDB53DA"/>
    <w:p w14:paraId="1709CA8C" w14:textId="3E6A6019" w:rsidR="000102A5" w:rsidRPr="000102A5" w:rsidRDefault="000102A5" w:rsidP="4E5D1DB7">
      <w:pPr>
        <w:rPr>
          <w:b/>
          <w:bCs/>
        </w:rPr>
      </w:pPr>
      <w:r w:rsidRPr="4E5D1DB7">
        <w:rPr>
          <w:b/>
          <w:bCs/>
        </w:rPr>
        <w:t>Pricing &amp; Registration</w:t>
      </w:r>
    </w:p>
    <w:p w14:paraId="6032FC37" w14:textId="0CF451AB" w:rsidR="00C0251B" w:rsidRDefault="00953054" w:rsidP="000102A5">
      <w:r>
        <w:lastRenderedPageBreak/>
        <w:t xml:space="preserve">The </w:t>
      </w:r>
      <w:hyperlink r:id="rId5" w:history="1">
        <w:r w:rsidR="00686063" w:rsidRPr="00686063">
          <w:rPr>
            <w:rStyle w:val="Hyperlink"/>
          </w:rPr>
          <w:t>link here</w:t>
        </w:r>
      </w:hyperlink>
      <w:r w:rsidR="00686063">
        <w:t xml:space="preserve"> </w:t>
      </w:r>
      <w:r>
        <w:t>provides the current ticket pricing; however, group discounts are available for teams of five. I’ll confirm final pricing based on our registration path and will take advantage of early booking to secure the best rates.</w:t>
      </w:r>
    </w:p>
    <w:p w14:paraId="7C466D0F" w14:textId="2273DDE2" w:rsidR="000102A5" w:rsidRPr="000102A5" w:rsidRDefault="00BB7686" w:rsidP="000102A5">
      <w:r>
        <w:rPr>
          <w:noProof/>
        </w:rPr>
        <mc:AlternateContent>
          <mc:Choice Requires="wps">
            <w:drawing>
              <wp:inline distT="0" distB="0" distL="0" distR="0" wp14:anchorId="5266DEB4" wp14:editId="389DC61D">
                <wp:extent cx="5731510" cy="635"/>
                <wp:effectExtent l="0" t="31750" r="0" b="36830"/>
                <wp:docPr id="1409629306" name="Horizontal Lin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BCF231-C188-49DA-8F40-70B5B0C9B99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3151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6="http://schemas.microsoft.com/office/drawing/2014/main" xmlns:a="http://schemas.openxmlformats.org/drawingml/2006/main"/>
        </mc:AlternateContent>
      </w:r>
    </w:p>
    <w:p w14:paraId="39D11389" w14:textId="54FDFFE5" w:rsidR="00242B8E" w:rsidRDefault="00242B8E" w:rsidP="4E5D1DB7">
      <w:pPr>
        <w:rPr>
          <w:color w:val="000000" w:themeColor="text1"/>
        </w:rPr>
      </w:pPr>
      <w:r>
        <w:t xml:space="preserve">If you have any questions or need more information, please let me know. You can also view additional event info on the </w:t>
      </w:r>
      <w:proofErr w:type="spellStart"/>
      <w:r>
        <w:t>CeFPro</w:t>
      </w:r>
      <w:proofErr w:type="spellEnd"/>
      <w:r>
        <w:t xml:space="preserve"> site here</w:t>
      </w:r>
      <w:r w:rsidR="00DC5B17">
        <w:t xml:space="preserve"> </w:t>
      </w:r>
      <w:hyperlink r:id="rId6" w:history="1">
        <w:r w:rsidR="00686063" w:rsidRPr="005825BE">
          <w:rPr>
            <w:rStyle w:val="Hyperlink"/>
          </w:rPr>
          <w:t>www.risk-evolve.com</w:t>
        </w:r>
      </w:hyperlink>
      <w:r w:rsidR="00686063">
        <w:t xml:space="preserve">. </w:t>
      </w:r>
      <w:r>
        <w:t xml:space="preserve">It would be great to hear from you by </w:t>
      </w:r>
      <w:r w:rsidRPr="4E5D1DB7">
        <w:rPr>
          <w:b/>
          <w:bCs/>
        </w:rPr>
        <w:t>[DATE]</w:t>
      </w:r>
      <w:r>
        <w:t>, so I can then lock in the registration and the best travel and hotel rates</w:t>
      </w:r>
      <w:r w:rsidR="00D75DA5">
        <w:t xml:space="preserve"> </w:t>
      </w:r>
      <w:r w:rsidR="00D75DA5" w:rsidRPr="4E5D1DB7">
        <w:rPr>
          <w:b/>
          <w:bCs/>
          <w:color w:val="EE0000"/>
        </w:rPr>
        <w:t>(if necessary)</w:t>
      </w:r>
      <w:r w:rsidRPr="4E5D1DB7">
        <w:rPr>
          <w:color w:val="000000" w:themeColor="text1"/>
        </w:rPr>
        <w:t xml:space="preserve">. </w:t>
      </w:r>
    </w:p>
    <w:p w14:paraId="109FE372" w14:textId="77777777" w:rsidR="00D75DA5" w:rsidRDefault="00D75DA5" w:rsidP="000102A5"/>
    <w:p w14:paraId="76D4886C" w14:textId="594CFCD4" w:rsidR="000102A5" w:rsidRPr="000102A5" w:rsidRDefault="000102A5" w:rsidP="000102A5">
      <w:r>
        <w:t>Thank you for considering this request</w:t>
      </w:r>
      <w:r w:rsidR="00242B8E">
        <w:t xml:space="preserve">, </w:t>
      </w:r>
      <w:r>
        <w:t xml:space="preserve">I'm confident this </w:t>
      </w:r>
      <w:r w:rsidR="00437850">
        <w:t xml:space="preserve">event </w:t>
      </w:r>
      <w:r>
        <w:t xml:space="preserve">will deliver practical value to our </w:t>
      </w:r>
      <w:r w:rsidR="30E13DC8">
        <w:t>risk professionals across the full spectrum of risk types.</w:t>
      </w:r>
    </w:p>
    <w:p w14:paraId="52827F9C" w14:textId="77777777" w:rsidR="000102A5" w:rsidRPr="000102A5" w:rsidRDefault="000102A5" w:rsidP="4E5D1DB7">
      <w:pPr>
        <w:rPr>
          <w:b/>
          <w:bCs/>
          <w:color w:val="EE0000"/>
        </w:rPr>
      </w:pPr>
      <w:r>
        <w:t>Best regards,</w:t>
      </w:r>
      <w:r>
        <w:br/>
      </w:r>
      <w:r w:rsidRPr="4E5D1DB7">
        <w:rPr>
          <w:b/>
          <w:bCs/>
          <w:color w:val="EE0000"/>
        </w:rPr>
        <w:t>[Your Name]</w:t>
      </w:r>
    </w:p>
    <w:p w14:paraId="0FC28017" w14:textId="77777777" w:rsidR="000102A5" w:rsidRDefault="000102A5"/>
    <w:sectPr w:rsidR="00010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224"/>
    <w:multiLevelType w:val="multilevel"/>
    <w:tmpl w:val="3BFA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14E2B"/>
    <w:multiLevelType w:val="multilevel"/>
    <w:tmpl w:val="3562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337B1"/>
    <w:multiLevelType w:val="multilevel"/>
    <w:tmpl w:val="7D6C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D489B"/>
    <w:multiLevelType w:val="multilevel"/>
    <w:tmpl w:val="3600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F4BA0"/>
    <w:multiLevelType w:val="multilevel"/>
    <w:tmpl w:val="058C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64301"/>
    <w:multiLevelType w:val="hybridMultilevel"/>
    <w:tmpl w:val="E37A55A4"/>
    <w:lvl w:ilvl="0" w:tplc="D168FC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D4D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61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0D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88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6E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0D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41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AF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83403"/>
    <w:multiLevelType w:val="multilevel"/>
    <w:tmpl w:val="4232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965038">
    <w:abstractNumId w:val="6"/>
  </w:num>
  <w:num w:numId="2" w16cid:durableId="1187017319">
    <w:abstractNumId w:val="0"/>
  </w:num>
  <w:num w:numId="3" w16cid:durableId="1240750930">
    <w:abstractNumId w:val="4"/>
  </w:num>
  <w:num w:numId="4" w16cid:durableId="1435705155">
    <w:abstractNumId w:val="2"/>
  </w:num>
  <w:num w:numId="5" w16cid:durableId="1602184579">
    <w:abstractNumId w:val="3"/>
  </w:num>
  <w:num w:numId="6" w16cid:durableId="233202407">
    <w:abstractNumId w:val="1"/>
  </w:num>
  <w:num w:numId="7" w16cid:durableId="424614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A5"/>
    <w:rsid w:val="000102A5"/>
    <w:rsid w:val="000B1063"/>
    <w:rsid w:val="000E3CC6"/>
    <w:rsid w:val="00143463"/>
    <w:rsid w:val="001E420E"/>
    <w:rsid w:val="002357C4"/>
    <w:rsid w:val="00242B8E"/>
    <w:rsid w:val="002C2624"/>
    <w:rsid w:val="002D3BEF"/>
    <w:rsid w:val="002E74DC"/>
    <w:rsid w:val="00384078"/>
    <w:rsid w:val="00386B46"/>
    <w:rsid w:val="00396812"/>
    <w:rsid w:val="00397685"/>
    <w:rsid w:val="003A3194"/>
    <w:rsid w:val="00437850"/>
    <w:rsid w:val="00445E4C"/>
    <w:rsid w:val="004974A8"/>
    <w:rsid w:val="004D1620"/>
    <w:rsid w:val="005D75DA"/>
    <w:rsid w:val="00605898"/>
    <w:rsid w:val="00661420"/>
    <w:rsid w:val="00686063"/>
    <w:rsid w:val="006C7675"/>
    <w:rsid w:val="00701597"/>
    <w:rsid w:val="00705AB5"/>
    <w:rsid w:val="00711811"/>
    <w:rsid w:val="00726EAD"/>
    <w:rsid w:val="007451FD"/>
    <w:rsid w:val="00752AA7"/>
    <w:rsid w:val="007870F3"/>
    <w:rsid w:val="007D5A8C"/>
    <w:rsid w:val="00832758"/>
    <w:rsid w:val="008B2240"/>
    <w:rsid w:val="00934AB6"/>
    <w:rsid w:val="00953054"/>
    <w:rsid w:val="00961C5C"/>
    <w:rsid w:val="00970823"/>
    <w:rsid w:val="00A07698"/>
    <w:rsid w:val="00A34FD3"/>
    <w:rsid w:val="00A438B4"/>
    <w:rsid w:val="00A54B6D"/>
    <w:rsid w:val="00A56769"/>
    <w:rsid w:val="00AD5F18"/>
    <w:rsid w:val="00AE51AE"/>
    <w:rsid w:val="00B964FE"/>
    <w:rsid w:val="00BB7686"/>
    <w:rsid w:val="00C0251B"/>
    <w:rsid w:val="00D056DD"/>
    <w:rsid w:val="00D75DA5"/>
    <w:rsid w:val="00DA104E"/>
    <w:rsid w:val="00DC5B17"/>
    <w:rsid w:val="00E05245"/>
    <w:rsid w:val="00E06837"/>
    <w:rsid w:val="00E1482C"/>
    <w:rsid w:val="00E62D42"/>
    <w:rsid w:val="00F40AB1"/>
    <w:rsid w:val="00F420A0"/>
    <w:rsid w:val="00F81DC0"/>
    <w:rsid w:val="00FD6306"/>
    <w:rsid w:val="025C8C75"/>
    <w:rsid w:val="02DFD9B8"/>
    <w:rsid w:val="1CD0B7FD"/>
    <w:rsid w:val="1D996F58"/>
    <w:rsid w:val="1EC067C9"/>
    <w:rsid w:val="22FDF5E9"/>
    <w:rsid w:val="25A851C0"/>
    <w:rsid w:val="270D37C2"/>
    <w:rsid w:val="2B1EF045"/>
    <w:rsid w:val="2D84EFA2"/>
    <w:rsid w:val="2EDB53DA"/>
    <w:rsid w:val="308E21CB"/>
    <w:rsid w:val="30E13DC8"/>
    <w:rsid w:val="34919325"/>
    <w:rsid w:val="3D2C502E"/>
    <w:rsid w:val="41FFC923"/>
    <w:rsid w:val="43D11F4E"/>
    <w:rsid w:val="43E66C17"/>
    <w:rsid w:val="45F32B17"/>
    <w:rsid w:val="49898B81"/>
    <w:rsid w:val="4DE2B75D"/>
    <w:rsid w:val="4E0D9119"/>
    <w:rsid w:val="4E5D1DB7"/>
    <w:rsid w:val="4E637F76"/>
    <w:rsid w:val="4EA7ED25"/>
    <w:rsid w:val="54A17FE8"/>
    <w:rsid w:val="55967563"/>
    <w:rsid w:val="56122099"/>
    <w:rsid w:val="5887585F"/>
    <w:rsid w:val="5A1767F0"/>
    <w:rsid w:val="5DA17C3D"/>
    <w:rsid w:val="5F39C3B4"/>
    <w:rsid w:val="608D4D2C"/>
    <w:rsid w:val="6279CB8B"/>
    <w:rsid w:val="651395FB"/>
    <w:rsid w:val="6D7C4B90"/>
    <w:rsid w:val="705D3950"/>
    <w:rsid w:val="71B792B1"/>
    <w:rsid w:val="740DEE0F"/>
    <w:rsid w:val="78B74776"/>
    <w:rsid w:val="7A0FEA8D"/>
    <w:rsid w:val="7B33F255"/>
    <w:rsid w:val="7EAB3106"/>
    <w:rsid w:val="7EC4E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C1F3E"/>
  <w15:chartTrackingRefBased/>
  <w15:docId w15:val="{D0647EA0-7F95-E743-BAFD-D2E4FC72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8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2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2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2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2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2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2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2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2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2A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0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2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B8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sk-evolve.com" TargetMode="External"/><Relationship Id="rId5" Type="http://schemas.openxmlformats.org/officeDocument/2006/relationships/hyperlink" Target="https://risk-evolve.com/register-ne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2889</Characters>
  <Application>Microsoft Office Word</Application>
  <DocSecurity>0</DocSecurity>
  <Lines>74</Lines>
  <Paragraphs>30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</dc:creator>
  <cp:keywords/>
  <dc:description/>
  <cp:lastModifiedBy>Amy Greene</cp:lastModifiedBy>
  <cp:revision>2</cp:revision>
  <dcterms:created xsi:type="dcterms:W3CDTF">2026-01-14T21:02:00Z</dcterms:created>
  <dcterms:modified xsi:type="dcterms:W3CDTF">2026-01-14T21:02:00Z</dcterms:modified>
</cp:coreProperties>
</file>